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  <w:lang w:val="en-US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办案（业务）经费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卓资县人民检察院部门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2024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年 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8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15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default" w:ascii="方正小标宋简体" w:eastAsia="方正小标宋简体"/>
          <w:sz w:val="44"/>
          <w:szCs w:val="44"/>
          <w:lang w:val="en-US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z w:val="44"/>
        </w:rPr>
        <w:t>办案（业务）经费项目绩效自评报告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3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项目基本情况简介</w:t>
      </w: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before="188" w:line="204" w:lineRule="auto"/>
        <w:ind w:firstLine="632" w:firstLineChars="200"/>
        <w:rPr>
          <w:rFonts w:hint="eastAsia" w:ascii="仿宋" w:hAnsi="仿宋" w:eastAsia="仿宋" w:cs="仿宋"/>
          <w:color w:val="auto"/>
          <w:spacing w:val="8"/>
          <w:sz w:val="30"/>
        </w:rPr>
      </w:pPr>
      <w:r>
        <w:rPr>
          <w:rFonts w:hint="eastAsia" w:ascii="仿宋" w:hAnsi="仿宋" w:eastAsia="仿宋" w:cs="仿宋"/>
          <w:color w:val="auto"/>
          <w:spacing w:val="8"/>
          <w:sz w:val="30"/>
        </w:rPr>
        <w:t>维护本单位正常运转，保障本单位业务用房及专用设备运行的日常运行维护支出。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="188" w:line="204" w:lineRule="auto"/>
        <w:ind w:firstLine="632" w:firstLineChars="200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88" w:line="204" w:lineRule="auto"/>
        <w:ind w:firstLine="632" w:firstLineChars="20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1、合理使用政法部门业务保障资金，专款专用，不超范围支付。2、维护本单位正常运转，保障本单位业务用房及专用设备日常运行维护。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88" w:line="204" w:lineRule="auto"/>
        <w:ind w:firstLine="632" w:firstLineChars="20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hint="eastAsia" w:ascii="仿宋" w:hAnsi="仿宋" w:eastAsia="仿宋" w:cs="仿宋"/>
          <w:color w:val="auto"/>
          <w:spacing w:val="8"/>
          <w:sz w:val="30"/>
        </w:rPr>
        <w:t>办案（业务）经费绩效目标基本完成，预算执行率达到97.97%。办案差旅费、办公费、差旅费均能够得到充分有效利用，有助于进一步提升办公效率、发挥部门职能。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firstLine="640" w:firstLineChars="200"/>
        <w:rPr>
          <w:rFonts w:hint="eastAsia" w:ascii="仿宋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before="188" w:line="204" w:lineRule="auto"/>
        <w:ind w:firstLine="604" w:firstLineChars="200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ind w:left="0" w:leftChars="0" w:firstLine="604" w:firstLineChars="20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通过绩效评价工作的开展，全面了解202</w:t>
      </w:r>
      <w:r>
        <w:rPr>
          <w:rFonts w:hint="default" w:ascii="仿宋" w:hAnsi="仿宋" w:eastAsia="仿宋" w:cs="仿宋"/>
          <w:spacing w:val="1"/>
          <w:sz w:val="30"/>
          <w:szCs w:val="30"/>
          <w:lang w:val="en-US"/>
        </w:rPr>
        <w:t>4</w:t>
      </w:r>
      <w:r>
        <w:rPr>
          <w:rFonts w:hint="default" w:ascii="仿宋" w:hAnsi="仿宋" w:eastAsia="仿宋" w:cs="仿宋"/>
          <w:spacing w:val="1"/>
          <w:sz w:val="30"/>
          <w:szCs w:val="30"/>
        </w:rPr>
        <w:t>年度部门预算中办案（业务）经费的业务管理、资金使用以及目标任务完成情况，通过逐项分析，对项目实施成效进行综合评价，总结经验。经过年度绩效评价的分析，对下一年度预算的编制及项目实施能够提供精细化、可操作、有针对性的依据及参考，为更好保障检察业务开展做出有力支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9" w:line="204" w:lineRule="auto"/>
        <w:ind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0" w:leftChars="0" w:firstLine="616" w:firstLineChars="20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162.58</w:t>
      </w:r>
      <w:r>
        <w:rPr>
          <w:rFonts w:ascii="仿宋" w:hAnsi="仿宋" w:eastAsia="仿宋" w:cs="仿宋"/>
          <w:color w:val="auto"/>
          <w:spacing w:val="4"/>
          <w:sz w:val="30"/>
        </w:rPr>
        <w:t>万元，其中：财政拨款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159</w:t>
      </w:r>
      <w:r>
        <w:rPr>
          <w:rFonts w:ascii="仿宋" w:hAnsi="仿宋" w:eastAsia="仿宋" w:cs="仿宋"/>
          <w:color w:val="auto"/>
          <w:spacing w:val="4"/>
          <w:sz w:val="30"/>
        </w:rPr>
        <w:t>万元，</w:t>
      </w:r>
      <w:r>
        <w:rPr>
          <w:rFonts w:hint="eastAsia" w:ascii="仿宋" w:hAnsi="仿宋" w:eastAsia="仿宋" w:cs="仿宋"/>
          <w:color w:val="auto"/>
          <w:spacing w:val="4"/>
          <w:sz w:val="30"/>
          <w:lang w:val="en-US" w:eastAsia="zh-CN"/>
        </w:rPr>
        <w:t>上年结转资金</w:t>
      </w:r>
      <w:r>
        <w:rPr>
          <w:rFonts w:ascii="仿宋" w:hAnsi="仿宋" w:eastAsia="仿宋" w:cs="仿宋"/>
          <w:color w:val="auto"/>
          <w:spacing w:val="4"/>
          <w:sz w:val="30"/>
        </w:rPr>
        <w:t>资金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3.58</w:t>
      </w:r>
      <w:r>
        <w:rPr>
          <w:rFonts w:ascii="仿宋" w:hAnsi="仿宋" w:eastAsia="仿宋" w:cs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0" w:leftChars="0" w:firstLine="616" w:firstLineChars="20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83.14</w:t>
      </w:r>
      <w:r>
        <w:rPr>
          <w:rFonts w:ascii="仿宋" w:hAnsi="仿宋" w:eastAsia="仿宋" w:cs="仿宋"/>
          <w:color w:val="auto"/>
          <w:spacing w:val="4"/>
          <w:sz w:val="30"/>
        </w:rPr>
        <w:t>万元，其中：财政拨款</w:t>
      </w:r>
      <w:r>
        <w:rPr>
          <w:rFonts w:hint="eastAsia" w:ascii="仿宋" w:hAnsi="仿宋" w:eastAsia="仿宋" w:cs="仿宋"/>
          <w:color w:val="auto"/>
          <w:spacing w:val="4"/>
          <w:sz w:val="30"/>
        </w:rPr>
        <w:t>179.56</w:t>
      </w:r>
      <w:r>
        <w:rPr>
          <w:rFonts w:ascii="仿宋" w:hAnsi="仿宋" w:eastAsia="仿宋" w:cs="仿宋"/>
          <w:color w:val="auto"/>
          <w:spacing w:val="4"/>
          <w:sz w:val="30"/>
        </w:rPr>
        <w:t>万元，</w:t>
      </w:r>
      <w:r>
        <w:rPr>
          <w:rFonts w:hint="eastAsia" w:ascii="仿宋" w:hAnsi="仿宋" w:eastAsia="仿宋" w:cs="仿宋"/>
          <w:color w:val="auto"/>
          <w:spacing w:val="4"/>
          <w:sz w:val="30"/>
          <w:lang w:val="en-US" w:eastAsia="zh-CN"/>
        </w:rPr>
        <w:t>上年结转资金</w:t>
      </w:r>
      <w:r>
        <w:rPr>
          <w:rFonts w:ascii="仿宋" w:hAnsi="仿宋" w:eastAsia="仿宋" w:cs="仿宋"/>
          <w:color w:val="auto"/>
          <w:spacing w:val="4"/>
          <w:sz w:val="30"/>
        </w:rPr>
        <w:t>资金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3.58</w:t>
      </w:r>
      <w:r>
        <w:rPr>
          <w:rFonts w:ascii="仿宋" w:hAnsi="仿宋" w:eastAsia="仿宋" w:cs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0" w:leftChars="0" w:firstLine="616" w:firstLineChars="20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hint="eastAsia" w:ascii="仿宋" w:hAnsi="仿宋" w:eastAsia="仿宋" w:cs="仿宋"/>
          <w:color w:val="auto"/>
          <w:spacing w:val="4"/>
          <w:sz w:val="30"/>
        </w:rPr>
        <w:t>179.43</w:t>
      </w:r>
      <w:r>
        <w:rPr>
          <w:rFonts w:ascii="仿宋" w:hAnsi="仿宋" w:eastAsia="仿宋" w:cs="仿宋"/>
          <w:color w:val="auto"/>
          <w:spacing w:val="4"/>
          <w:sz w:val="30"/>
        </w:rPr>
        <w:t>万元，其中：财政拨款1</w:t>
      </w:r>
      <w:r>
        <w:rPr>
          <w:rFonts w:hint="eastAsia" w:ascii="仿宋" w:hAnsi="仿宋" w:eastAsia="仿宋" w:cs="仿宋"/>
          <w:color w:val="auto"/>
          <w:spacing w:val="4"/>
          <w:sz w:val="30"/>
        </w:rPr>
        <w:t>75.8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5</w:t>
      </w:r>
      <w:r>
        <w:rPr>
          <w:rFonts w:ascii="仿宋" w:hAnsi="仿宋" w:eastAsia="仿宋" w:cs="仿宋"/>
          <w:color w:val="auto"/>
          <w:spacing w:val="4"/>
          <w:sz w:val="30"/>
        </w:rPr>
        <w:t>万元，</w:t>
      </w:r>
      <w:r>
        <w:rPr>
          <w:rFonts w:hint="eastAsia" w:ascii="仿宋" w:hAnsi="仿宋" w:eastAsia="仿宋" w:cs="仿宋"/>
          <w:color w:val="auto"/>
          <w:spacing w:val="4"/>
          <w:sz w:val="30"/>
          <w:lang w:val="en-US" w:eastAsia="zh-CN"/>
        </w:rPr>
        <w:t>上年结转资金</w:t>
      </w:r>
      <w:r>
        <w:rPr>
          <w:rFonts w:ascii="仿宋" w:hAnsi="仿宋" w:eastAsia="仿宋" w:cs="仿宋"/>
          <w:color w:val="auto"/>
          <w:spacing w:val="4"/>
          <w:sz w:val="30"/>
        </w:rPr>
        <w:t>资金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3.58</w:t>
      </w:r>
      <w:r>
        <w:rPr>
          <w:rFonts w:ascii="仿宋" w:hAnsi="仿宋" w:eastAsia="仿宋" w:cs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ind w:left="0" w:leftChars="0" w:firstLine="604" w:firstLineChars="20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办案（业务）经费全年预算为</w:t>
      </w:r>
      <w:r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pacing w:val="4"/>
          <w:sz w:val="30"/>
          <w:lang w:val="en-US"/>
        </w:rPr>
        <w:t>83.14</w:t>
      </w:r>
      <w:r>
        <w:rPr>
          <w:rFonts w:hint="default" w:ascii="仿宋" w:hAnsi="仿宋" w:eastAsia="仿宋" w:cs="仿宋"/>
          <w:spacing w:val="1"/>
          <w:sz w:val="30"/>
          <w:szCs w:val="30"/>
        </w:rPr>
        <w:t>万元。全年执行率为97</w:t>
      </w:r>
      <w:r>
        <w:rPr>
          <w:rFonts w:hint="default" w:ascii="仿宋" w:hAnsi="仿宋" w:eastAsia="仿宋" w:cs="仿宋"/>
          <w:spacing w:val="1"/>
          <w:sz w:val="30"/>
          <w:szCs w:val="30"/>
          <w:lang w:val="en-US"/>
        </w:rPr>
        <w:t>.97</w:t>
      </w:r>
      <w:r>
        <w:rPr>
          <w:rFonts w:hint="default" w:ascii="仿宋" w:hAnsi="仿宋" w:eastAsia="仿宋" w:cs="仿宋"/>
          <w:spacing w:val="1"/>
          <w:sz w:val="30"/>
          <w:szCs w:val="30"/>
        </w:rPr>
        <w:t>%。主要包含办案差旅费、印刷费、培训费、维修维护费等科目。在预算执行过程中，我院充分考虑在职检察人员及书记员的实际工作需求，根据实际情况适时调整支出经济分类科目，履行调剂流程及手续，保障资金的支出符合规章制度和上级支出要求，同时也能够提升资金使用效益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ind w:left="0" w:leftChars="0" w:firstLine="604" w:firstLineChars="20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办案（业务）经费项目预算由自治区财政厅全部足额下达。在预算执行过程中，我院严格按照财务规章制度，在资金保障内科学有序安排项目资金，规范财政资金使用，根据经济分类支出科目及支出范围严格把关，规范资金支付的事前、事中、事后全流程审批环节，努力提高财政资金效益，为机关日常运行、案件办理及检查监督职能的发挥提供有力保障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ind w:left="0" w:leftChars="0" w:firstLine="604" w:firstLineChars="20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1)受理案件数量，目标值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150</w:t>
      </w:r>
      <w:r>
        <w:rPr>
          <w:rFonts w:ascii="仿宋" w:hAnsi="仿宋" w:eastAsia="仿宋" w:cs="仿宋"/>
          <w:sz w:val="32"/>
        </w:rPr>
        <w:t>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3</w:t>
      </w:r>
      <w:r>
        <w:rPr>
          <w:rFonts w:hint="default" w:ascii="仿宋" w:hAnsi="仿宋" w:eastAsia="仿宋" w:cs="仿宋"/>
          <w:sz w:val="32"/>
          <w:lang w:val="en-US"/>
        </w:rPr>
        <w:t>65</w:t>
      </w:r>
      <w:r>
        <w:rPr>
          <w:rFonts w:ascii="仿宋" w:hAnsi="仿宋" w:eastAsia="仿宋" w:cs="仿宋"/>
          <w:sz w:val="32"/>
        </w:rPr>
        <w:t>件，分值5，得分5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2)印刷宣传册，目标值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2000</w:t>
      </w:r>
      <w:r>
        <w:rPr>
          <w:rFonts w:ascii="仿宋" w:hAnsi="仿宋" w:eastAsia="仿宋" w:cs="仿宋"/>
          <w:sz w:val="32"/>
        </w:rPr>
        <w:t>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3000册，分值4，得分4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3)维修电脑数量，目标值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60</w:t>
      </w:r>
      <w:r>
        <w:rPr>
          <w:rFonts w:ascii="仿宋" w:hAnsi="仿宋" w:eastAsia="仿宋" w:cs="仿宋"/>
          <w:sz w:val="32"/>
        </w:rPr>
        <w:t>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60台，分值3，得分3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4)培训人次，目标值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 w:cs="仿宋"/>
          <w:sz w:val="32"/>
        </w:rPr>
        <w:t>人</w:t>
      </w:r>
      <w:r>
        <w:rPr>
          <w:rFonts w:hint="eastAsia" w:ascii="仿宋" w:hAnsi="仿宋" w:eastAsia="仿宋" w:cs="仿宋"/>
          <w:sz w:val="32"/>
          <w:lang w:val="en-US" w:eastAsia="zh-CN"/>
        </w:rPr>
        <w:t>次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hint="default" w:ascii="仿宋" w:hAnsi="仿宋" w:eastAsia="仿宋"/>
          <w:sz w:val="32"/>
          <w:szCs w:val="32"/>
          <w:lang w:val="en-US"/>
        </w:rPr>
        <w:t>15</w:t>
      </w:r>
      <w:r>
        <w:rPr>
          <w:rFonts w:ascii="仿宋" w:hAnsi="仿宋" w:eastAsia="仿宋" w:cs="仿宋"/>
          <w:sz w:val="32"/>
        </w:rPr>
        <w:t>人</w:t>
      </w:r>
      <w:r>
        <w:rPr>
          <w:rFonts w:hint="eastAsia" w:ascii="仿宋" w:hAnsi="仿宋" w:eastAsia="仿宋" w:cs="仿宋"/>
          <w:sz w:val="32"/>
          <w:lang w:val="en-US" w:eastAsia="zh-CN"/>
        </w:rPr>
        <w:t>次</w:t>
      </w:r>
      <w:r>
        <w:rPr>
          <w:rFonts w:ascii="仿宋" w:hAnsi="仿宋" w:eastAsia="仿宋" w:cs="仿宋"/>
          <w:sz w:val="32"/>
        </w:rPr>
        <w:t>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5)案件完成率，目标值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6)电脑设备设施，目标值</w:t>
      </w:r>
      <w:r>
        <w:rPr>
          <w:rFonts w:hint="eastAsia" w:ascii="仿宋" w:hAnsi="仿宋" w:eastAsia="仿宋"/>
          <w:sz w:val="32"/>
          <w:szCs w:val="32"/>
        </w:rPr>
        <w:t>正常运行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正常运行，分值3，得分3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7)宣传册发放率，目标值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80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90%，分值4，得分4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8)培训合格率，目标值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9)受理案件及时率，目标值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10)设备设施故障修复响应时间，目标值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 w:cs="仿宋"/>
          <w:sz w:val="32"/>
        </w:rPr>
        <w:t>小时，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24小时，分值2，得分2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11)宣传时间，目标值</w:t>
      </w:r>
      <w:r>
        <w:rPr>
          <w:rFonts w:hint="eastAsia" w:ascii="仿宋" w:hAnsi="仿宋" w:eastAsia="仿宋"/>
          <w:sz w:val="32"/>
          <w:szCs w:val="32"/>
        </w:rPr>
        <w:t>12月之前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12月前，分值2，得分2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12)培训天数，目标值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 w:cs="仿宋"/>
          <w:sz w:val="32"/>
        </w:rPr>
        <w:t>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0天，分值2，得分2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lang w:val="en-US"/>
        </w:rPr>
        <w:t>1</w:t>
      </w:r>
      <w:r>
        <w:rPr>
          <w:rFonts w:ascii="仿宋" w:hAnsi="仿宋" w:eastAsia="仿宋" w:cs="仿宋"/>
          <w:sz w:val="32"/>
        </w:rPr>
        <w:t>4、成本指标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13)印刷成本，目标值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ascii="仿宋" w:hAnsi="仿宋" w:eastAsia="仿宋" w:cs="仿宋"/>
          <w:sz w:val="32"/>
        </w:rPr>
        <w:t>元/册，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20元/册，分值2，得分2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14)设备维修成本，目标值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10万元，分值2，得分2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15)办案平均成本，目标值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0.46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0.46万元，分值4，得分4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16)培训人均支出，目标值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0.6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0.6万元，分值2，得分2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17)办案人员能力，目标值</w:t>
      </w:r>
      <w:r>
        <w:rPr>
          <w:rFonts w:hint="eastAsia" w:ascii="仿宋" w:hAnsi="仿宋" w:eastAsia="仿宋"/>
          <w:sz w:val="32"/>
          <w:szCs w:val="32"/>
        </w:rPr>
        <w:t>提升</w:t>
      </w:r>
      <w:r>
        <w:rPr>
          <w:rFonts w:ascii="仿宋" w:hAnsi="仿宋" w:eastAsia="仿宋" w:cs="仿宋"/>
          <w:sz w:val="32"/>
        </w:rPr>
        <w:t>优良中差，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优优良中差，分值10，得分10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18)周围生态环境改善程度，目标值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19)加强社会主义法制建设，目标值</w:t>
      </w:r>
      <w:r>
        <w:rPr>
          <w:rFonts w:hint="eastAsia" w:ascii="仿宋" w:hAnsi="仿宋" w:eastAsia="仿宋"/>
          <w:sz w:val="32"/>
          <w:szCs w:val="32"/>
        </w:rPr>
        <w:t>长期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加强，分值10，得分10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20)干警满意度，目标值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99.</w:t>
      </w:r>
      <w:r>
        <w:rPr>
          <w:rFonts w:hint="default" w:ascii="仿宋_GB2312" w:hAnsi="仿宋_GB2312" w:eastAsia="仿宋_GB2312" w:cs="仿宋_GB2312"/>
          <w:sz w:val="32"/>
          <w:lang w:val="en-US"/>
        </w:rPr>
        <w:t>8</w:t>
      </w:r>
      <w:r>
        <w:rPr>
          <w:rFonts w:ascii="仿宋_GB2312" w:hAnsi="仿宋_GB2312" w:eastAsia="仿宋_GB2312" w:cs="仿宋_GB2312"/>
          <w:sz w:val="32"/>
        </w:rPr>
        <w:t>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20" w:lineRule="exact"/>
        <w:ind w:left="0" w:leftChars="0"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5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</w:t>
      </w:r>
    </w:p>
    <w:p>
      <w:pPr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绩效目标和指标设置有待进一步优化，在编制预算项目绩效目标时，未能完全从自身的实际情况出发，单位部分绩效目标设置不够合理，绩效目标未能全面覆盖项目任务。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ascii="仿宋" w:hAnsi="仿宋" w:eastAsia="仿宋"/>
          <w:b w:val="0"/>
          <w:bCs/>
          <w:sz w:val="32"/>
          <w:szCs w:val="32"/>
        </w:rPr>
      </w:pPr>
    </w:p>
    <w:p>
      <w:pPr>
        <w:numPr>
          <w:ilvl w:val="0"/>
          <w:numId w:val="5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</w:rPr>
        <w:t>预算执行进度有待进一步加强，未能充分发挥资金分配使用效益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spacing w:line="240" w:lineRule="auto"/>
        <w:ind w:left="420" w:firstLine="420" w:firstLineChars="0"/>
        <w:rPr>
          <w:rFonts w:hint="default" w:ascii="仿宋" w:hAnsi="仿宋" w:eastAsia="仿宋"/>
          <w:b/>
          <w:sz w:val="32"/>
          <w:szCs w:val="32"/>
          <w:lang w:val="en-US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我院将牢固树立绩效管理理念、强化主体意识、落实工作责任，切实将绩效评价作为改进工作管理、提升工作水平、提高资金效益的有力措施。在开展评价工作中，设计符合自身情况的绩效指标，积极提供资料、主动配合工作，共同推进绩效评价有序开展、取得实效。在绩效自评及后续应用环节持续查漏补缺，保证检察业务有序开展，切实落实上级政策要求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在开展评价工作中，设计符合自身情况的绩效指标，积极提供资料、主动配合工作，共同推进绩效评价有序开展、取得实效。积极加快预算执行进度，有序安排资金的支出，根据实际情况及执行进度进行资金调剂，加快支付进度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3E621C0"/>
    <w:multiLevelType w:val="singleLevel"/>
    <w:tmpl w:val="53E621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IzZTYxNzYyMTBiMzNiMDUxODg5NTdjYzRiNT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125431F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5D647AE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</Words>
  <Characters>1382</Characters>
  <Lines>16</Lines>
  <Paragraphs>4</Paragraphs>
  <TotalTime>4</TotalTime>
  <ScaleCrop>false</ScaleCrop>
  <LinksUpToDate>false</LinksUpToDate>
  <CharactersWithSpaces>1395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Administrator</dc:creator>
  <cp:lastModifiedBy>qgdn</cp:lastModifiedBy>
  <dcterms:modified xsi:type="dcterms:W3CDTF">2025-08-15T04:13:59Z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2CF270DEABCC4AC0B2D61ED60F3256AC</vt:lpwstr>
  </property>
</Properties>
</file>