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Hans" w:bidi="ar"/>
        </w:rPr>
        <w:t>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绩效自评报告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2023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办案（业务）经费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卓资县人民检察院部门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2024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年 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4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  月  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10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 xml:space="preserve"> 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ascii="方正小标宋简体" w:hAnsi="方正小标宋简体" w:eastAsia="方正小标宋简体" w:cs="方正小标宋简体"/>
          <w:sz w:val="44"/>
        </w:rPr>
        <w:t>办案（业务）经费项目绩效自评报告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维护本单位正常运转，保障本单位业务用房及专用设备运行的日常运行维护支出。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1、合理使用政法部门业务保障资金，专款专用，不超范围支付。2、维护本单位正常运转，保障本单位业务用房及专用设备日常运行维护。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eastAsia="仿宋" w:cs="仿宋"/>
          <w:color w:val="auto"/>
          <w:spacing w:val="8"/>
          <w:sz w:val="30"/>
        </w:rPr>
        <w:t>办案（业务）经费绩效目标基本完成，预算执行率达到97%。办案差旅费、办案办公费均支出100%，公务用车运行维护费完成情况一般，能够保障我院办案工作有序开展，预算执行进度有待提升。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通过绩效评价工作的开展，全面了解2023年度部门预算中办案（业务）经费的业务管理、资金使用以及目标任务完成情况，通过逐项分析，对项目实施成效进行综合评价，总结经验。经过年度绩效评价的分析，对下一年度预算的编制及项目实施能够提供精细化、可操作、有针对性的依据及参考，为更好保障检察业务开展做出有力支撑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159.05万元，其中：财政拨款159.05万元，其他资金0.00万元。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159.05万元，其中：财政拨款159.05万元，其他资金0万元。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155.47万元，其中：财政拨款155.47万元，其他资金0.00万元。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办案（业务）经费全年预算为159.05万元。全年执行率为97%。主要包含办案差旅费、印刷费、培训费、维修维护费等科目。在预算执行过程中，我院充分考虑在职检察人员及书记员的实际工作需求，根据实际情况适时调整支出经济分类科目，履行调剂流程及手续，保障资金的支出符合规章制度和上级支出要求，同时也能够提升资金使用效益。</w:t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办案（业务）经费项目预算由自治区财政厅全部足额下达。在预算执行过程中，我院严格按照财务规章制度，在资金保障内科学有序安排项目资金，规范财政资金使用，根据经济分类支出科目及支出范围严格把关，规范资金支付的事前、事中、事后全流程审批环节，努力提高财政资金效益，为机关日常运行、案件办理及检查监督职能的发挥提供有力保障。</w:t>
      </w: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1)受理案件数量，目标值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150</w:t>
      </w:r>
      <w:r>
        <w:rPr>
          <w:rFonts w:ascii="仿宋" w:hAnsi="仿宋" w:eastAsia="仿宋" w:cs="仿宋"/>
          <w:sz w:val="32"/>
        </w:rPr>
        <w:t>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330件，分值5，得分5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2)印刷宣传册，目标值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2000</w:t>
      </w:r>
      <w:r>
        <w:rPr>
          <w:rFonts w:ascii="仿宋" w:hAnsi="仿宋" w:eastAsia="仿宋" w:cs="仿宋"/>
          <w:sz w:val="32"/>
        </w:rPr>
        <w:t>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3000册，分值4，得分4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3)维修电脑数量，目标值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60</w:t>
      </w:r>
      <w:r>
        <w:rPr>
          <w:rFonts w:ascii="仿宋" w:hAnsi="仿宋" w:eastAsia="仿宋" w:cs="仿宋"/>
          <w:sz w:val="32"/>
        </w:rPr>
        <w:t>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60台，分值3，得分3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4)培训人次，目标值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 w:cs="仿宋"/>
          <w:sz w:val="32"/>
        </w:rPr>
        <w:t>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20人，分值3，得分3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5)案件完成率，目标值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95%，分值5，得分5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6)电脑设备设施，目标值</w:t>
      </w:r>
      <w:r>
        <w:rPr>
          <w:rFonts w:hint="eastAsia" w:ascii="仿宋" w:hAnsi="仿宋" w:eastAsia="仿宋"/>
          <w:sz w:val="32"/>
          <w:szCs w:val="32"/>
        </w:rPr>
        <w:t>正常运行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正常运行，分值3，得分3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7)宣传册发放率，目标值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80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90%，分值4，得分4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8)培训合格率，目标值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100%，分值3，得分3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9)受理案件及时率，目标值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95%，分值4，得分4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10)设备设施故障修复响应时间，目标值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 w:cs="仿宋"/>
          <w:sz w:val="32"/>
        </w:rPr>
        <w:t>小时，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24小时，分值2，得分2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11)宣传时间，目标值</w:t>
      </w:r>
      <w:r>
        <w:rPr>
          <w:rFonts w:hint="eastAsia" w:ascii="仿宋" w:hAnsi="仿宋" w:eastAsia="仿宋"/>
          <w:sz w:val="32"/>
          <w:szCs w:val="32"/>
        </w:rPr>
        <w:t>12月之前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12月前，分值2，得分2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12)培训天数，目标值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 w:cs="仿宋"/>
          <w:sz w:val="32"/>
        </w:rPr>
        <w:t>天，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0天，分值2，得分2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13)印刷成本，目标值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ascii="仿宋" w:hAnsi="仿宋" w:eastAsia="仿宋" w:cs="仿宋"/>
          <w:sz w:val="32"/>
        </w:rPr>
        <w:t>元/册，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20元/册，分值2，得分2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14)设备维修成本，目标值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10万元，分值2，得分2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15)办案平均成本，目标值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0.46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0.46万元，分值4，得分4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16)培训人均支出，目标值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0.6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0.6万元，分值2，得分2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17)办案人员能力，目标值</w:t>
      </w:r>
      <w:r>
        <w:rPr>
          <w:rFonts w:hint="eastAsia" w:ascii="仿宋" w:hAnsi="仿宋" w:eastAsia="仿宋"/>
          <w:sz w:val="32"/>
          <w:szCs w:val="32"/>
        </w:rPr>
        <w:t>提升</w:t>
      </w:r>
      <w:r>
        <w:rPr>
          <w:rFonts w:ascii="仿宋" w:hAnsi="仿宋" w:eastAsia="仿宋" w:cs="仿宋"/>
          <w:sz w:val="32"/>
        </w:rPr>
        <w:t>优良中差，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优优良中差，分值10，得分10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18)周围生态环境改善程度，目标值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90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90%，分值10，得分10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19)加强社会主义法制建设，目标值</w:t>
      </w:r>
      <w:r>
        <w:rPr>
          <w:rFonts w:hint="eastAsia" w:ascii="仿宋" w:hAnsi="仿宋" w:eastAsia="仿宋"/>
          <w:sz w:val="32"/>
          <w:szCs w:val="32"/>
        </w:rPr>
        <w:t>长期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加强，分值10，得分10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20)干警满意度，目标值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99.78分，等级为A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spacing w:line="62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绩效目标和指标设置有待进一步优化，在编制预算项目绩效目标时，未能完全从自身的实际情况出发，单位部分绩效目标设置不够合理，绩效目标未能全面覆盖项目任务。</w:t>
      </w:r>
    </w:p>
    <w:p>
      <w:pPr>
        <w:widowControl w:val="0"/>
        <w:numPr>
          <w:numId w:val="0"/>
        </w:numPr>
        <w:spacing w:line="240" w:lineRule="auto"/>
        <w:jc w:val="both"/>
        <w:rPr>
          <w:rFonts w:ascii="仿宋" w:hAnsi="仿宋" w:eastAsia="仿宋"/>
          <w:b w:val="0"/>
          <w:bCs/>
          <w:sz w:val="32"/>
          <w:szCs w:val="32"/>
        </w:rPr>
      </w:pP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widowControl w:val="0"/>
        <w:numPr>
          <w:numId w:val="0"/>
        </w:numPr>
        <w:spacing w:line="240" w:lineRule="auto"/>
        <w:ind w:firstLine="640" w:firstLineChars="200"/>
        <w:jc w:val="both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ascii="仿宋" w:hAnsi="仿宋" w:eastAsia="仿宋" w:cs="仿宋"/>
          <w:sz w:val="32"/>
        </w:rPr>
        <w:t>预算执行进度有待进一步加强，未能充分发挥资金分配使用效益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>我院将牢固树立绩效管理理念、强化主体意识、落实工作责任，切实将绩效评价作为改进工作管理、提升工作水平、提高资金效益的有力措施。在开展评价</w:t>
      </w:r>
      <w:bookmarkStart w:id="0" w:name="_GoBack"/>
      <w:bookmarkEnd w:id="0"/>
      <w:r>
        <w:rPr>
          <w:rFonts w:hint="default" w:ascii="仿宋" w:hAnsi="仿宋" w:eastAsia="仿宋" w:cs="仿宋"/>
          <w:spacing w:val="1"/>
          <w:sz w:val="30"/>
          <w:szCs w:val="30"/>
        </w:rPr>
        <w:t>工作中，设计符合自身情况的绩效指标，积极提供资料、主动配合工作，共同推进绩效评价有序开展、取得实效。在绩效自评及后续应用环节持续查漏补缺，保证检察业务有序开展，切实落实上级政策要求。</w:t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在开展评价工作中，设计符合自身情况的绩效指标，积极提供资料、主动配合工作，共同推进绩效评价有序开展、取得实效。积极加快预算执行进度，有序安排资金的支出，根据实际情况及执行进度进行资金调剂，加快支付进度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zIzZTYxNzYyMTBiMzNiMDUxODg5NTdjYzRiNTU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1A437D2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BDFEA1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5D647AE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E77AE1E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382</Words>
  <Characters>1382</Characters>
  <Lines>16</Lines>
  <Paragraphs>4</Paragraphs>
  <TotalTime>1</TotalTime>
  <ScaleCrop>false</ScaleCrop>
  <LinksUpToDate>false</LinksUpToDate>
  <CharactersWithSpaces>1395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2021-01-19T07:13:00Z</dcterms:created>
  <dc:creator>Administrator</dc:creator>
  <cp:lastModifiedBy>qgdn</cp:lastModifiedBy>
  <dcterms:modified xsi:type="dcterms:W3CDTF">2024-04-10T03:00:57Z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2CF270DEABCC4AC0B2D61ED60F3256AC</vt:lpwstr>
  </property>
</Properties>
</file>